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إعلان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للترشح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الالتحاق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بدراسات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الماستر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بسكرة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03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سبتمبر</w:t>
      </w:r>
      <w:r w:rsidDel="00000000" w:rsidR="00000000" w:rsidRPr="00000000">
        <w:rPr>
          <w:rFonts w:ascii="Arial" w:cs="Arial" w:eastAsia="Arial" w:hAnsi="Arial"/>
          <w:sz w:val="30"/>
          <w:szCs w:val="30"/>
          <w:rtl w:val="1"/>
        </w:rPr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بمقتضيات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الوزاري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917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المؤرخ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2021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يحدد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كيفيات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والتسجيل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لنيل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الماستر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ننهي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الراغبين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الطور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تتوفر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التنظيمية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يفتح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بدراسات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للفئات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الحائزين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الليسانس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دفعة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2020 - 2021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بسكرة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الحائزين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القدام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بسكرة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ليسانس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بكالوريا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+ 04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بكالوريا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+ 05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التدرج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الحائزين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بسكرة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لمضمون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مقتضيات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الفقرتين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الشهادة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المحصل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المترشح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يتحدد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يمكن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للحائزين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ليسانس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بكالوريا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+ 04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بالسنة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يمكن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للحائزين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بكالوريا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+ 05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التدرج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بالسنة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مترشح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فئة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خريجي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بسكرة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دفعة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2020-2021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تحصيل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مقعد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بيداغوجي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بالسنة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يتحدد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الأخير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لرغبة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المترشح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معدله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الترتيبي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إمكانيات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الهيكل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البيداغوجي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مقتضيات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04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أدناه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خريجي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بسكرة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دفعة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2020-2021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والمترشحين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للدراسات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الرابط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بالترشح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الواب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32"/>
            <w:szCs w:val="32"/>
            <w:u w:val="single"/>
            <w:rtl w:val="0"/>
          </w:rPr>
          <w:t xml:space="preserve">http://inscription.univ-biskra.dz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يتعين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التخصصات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المراد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الالتحاق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ترتيب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تنازلي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تحميل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تحفيز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تتضمن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للتسجيل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الماستر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المترشحين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الفئات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الأخرى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للدراسات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بسكرة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بالترشح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right" w:pos="283"/>
          <w:tab w:val="right" w:pos="850"/>
        </w:tabs>
        <w:bidi w:val="1"/>
        <w:spacing w:after="0" w:lineRule="auto"/>
        <w:ind w:left="72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التخصصات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المراد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الالتحاق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ترتيب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تنازلي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تحميل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رسالة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تحفيز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تتضمن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للتسجيل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البكالوريا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التدرج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الجامعي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  <w:tab w:val="right" w:pos="850"/>
        </w:tabs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6)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الالتحاق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الماستر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تلقائي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لأي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النظر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الفئة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ينتمي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للتسجيل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"/>
        </w:tabs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7)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تتناسب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تخصصات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مسارات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التكوين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الليسانس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"/>
        </w:tabs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8)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كأصل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يقدم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بتخصصات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منبثقة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تخصص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التكوين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الليسانس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استثناء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يقدم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بتخصصات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منبثقة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تخصص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التكوين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الليسانس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الماستر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يطبق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معامل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تخفيض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مبين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سيتم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الإعلان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بوابة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"/>
        </w:tabs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9)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معاملات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التخفيض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يسمح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بإعطاء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للطالب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بالترشح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مسارات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منبثقة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تكوينه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الأصلي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الليسانس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خفض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معدل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الترتيب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للطالب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3"/>
        </w:tabs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10)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الإعلان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النهائية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للترتيب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الطعون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الرزنامة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المبينة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أدناه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المواقع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للكليات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"/>
        </w:tabs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25"/>
        </w:tabs>
        <w:bidi w:val="1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11)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رزنامة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بعمليات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والتسجيل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للالتحاق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بدراسات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الماستر</w:t>
      </w:r>
    </w:p>
    <w:tbl>
      <w:tblPr>
        <w:tblStyle w:val="Table1"/>
        <w:bidiVisual w:val="1"/>
        <w:tblW w:w="922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0"/>
        <w:gridCol w:w="3465"/>
        <w:tblGridChange w:id="0">
          <w:tblGrid>
            <w:gridCol w:w="5760"/>
            <w:gridCol w:w="34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طلبات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الترشح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للالتحاق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بدراسات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الماستر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07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سبتمبر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معالجة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طلبات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الترشح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09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سبتمبر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2021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إعلان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بمعالجة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طلبات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الترشح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09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سبتمبر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2021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الطعون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بمعالجة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طلبات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الترشح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سبتمبر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معالجة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الطعون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سبتمبر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2021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التسجيلات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النهائية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سبتمبر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2021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fr-FR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fr-FR" w:val="fr-FR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fr-FR" w:val="fr-FR"/>
    </w:rPr>
  </w:style>
  <w:style w:type="paragraph" w:styleId="Titre4">
    <w:name w:val="Titre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paragraph" w:styleId="Titre6">
    <w:name w:val="Titre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  <w:tblPr>
      <w:tblStyle w:val="TableNormal"/>
      <w:jc w:val="left"/>
    </w:tblPr>
  </w:style>
  <w:style w:type="paragraph" w:styleId="Titre">
    <w:name w:val="Titr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fr-FR" w:val="fr-FR"/>
    </w:rPr>
  </w:style>
  <w:style w:type="paragraph" w:styleId="Sous-titre">
    <w:name w:val="Sous-titr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fr-FR" w:val="fr-FR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  <w:tblPr>
      <w:tblStyle w:val="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nscription.univ-biskra.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S7rBmCGvV/VilDUYWXkc28Zsxg==">AMUW2mVbbk3Xk4BufdpAcN5QNAczF8RXz7b1Y1q25hKqOk4FG3PXjtAQZKdSJMGFtuPTmaE0aCm6uJDIzbENpCYQ3DSyUvyFNd1u4wfDCARDYLaCCAjdoPU=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2020-10-25T18:04:00Z</dcterms:created>
  <dc:creator>Dr Hassouna</dc:creator>
</cp:coreProperties>
</file>